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1E27A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206FB5E4" wp14:editId="78A19CC1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6B078967" wp14:editId="1B2F26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1A14D" wp14:editId="22C604B4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40492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10E022AB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1A1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2F740492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10E022AB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030A4275" w14:textId="77777777" w:rsidR="00135D38" w:rsidRDefault="00135D38" w:rsidP="00135D38">
      <w:pPr>
        <w:bidi/>
        <w:rPr>
          <w:rtl/>
        </w:rPr>
      </w:pPr>
    </w:p>
    <w:p w14:paraId="3BA437B4" w14:textId="77777777" w:rsidR="00135D38" w:rsidRDefault="00F306B9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F3F70" wp14:editId="5B21818E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8859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F0C5B" w14:textId="77777777" w:rsidR="00F306B9" w:rsidRPr="0033154D" w:rsidRDefault="00F306B9" w:rsidP="00F306B9">
                            <w:pPr>
                              <w:bidi/>
                              <w:spacing w:line="252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33154D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</w:t>
                            </w:r>
                            <w:r w:rsidRPr="0033154D">
                              <w:rPr>
                                <w:rFonts w:ascii="Calibri" w:eastAsia="Calibri" w:hAnsi="Calibri" w:cs="Arial"/>
                              </w:rPr>
                              <w:t>TH-GE-POR-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14</w:t>
                            </w:r>
                            <w:r w:rsidRPr="0033154D">
                              <w:rPr>
                                <w:rFonts w:ascii="Calibri" w:eastAsia="Calibri" w:hAnsi="Calibri" w:cs="Arial"/>
                              </w:rPr>
                              <w:t>-01</w:t>
                            </w:r>
                            <w:r w:rsidRPr="0033154D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</w:p>
                          <w:p w14:paraId="6509DCF1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F3F70" id="Text Box 3" o:spid="_x0000_s1027" type="#_x0000_t202" style="position:absolute;left:0;text-align:left;margin-left:0;margin-top:20.85pt;width:148.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" filled="f" stroked="f" strokeweight=".5pt">
                <v:textbox>
                  <w:txbxContent>
                    <w:p w14:paraId="407F0C5B" w14:textId="77777777" w:rsidR="00F306B9" w:rsidRPr="0033154D" w:rsidRDefault="00F306B9" w:rsidP="00F306B9">
                      <w:pPr>
                        <w:bidi/>
                        <w:spacing w:line="252" w:lineRule="auto"/>
                        <w:rPr>
                          <w:rFonts w:ascii="Calibri" w:eastAsia="Calibri" w:hAnsi="Calibri" w:cs="Arial"/>
                        </w:rPr>
                      </w:pPr>
                      <w:r w:rsidRPr="0033154D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</w:t>
                      </w:r>
                      <w:r w:rsidRPr="0033154D">
                        <w:rPr>
                          <w:rFonts w:ascii="Calibri" w:eastAsia="Calibri" w:hAnsi="Calibri" w:cs="Arial"/>
                        </w:rPr>
                        <w:t>TH-GE-POR-</w:t>
                      </w:r>
                      <w:r>
                        <w:rPr>
                          <w:rFonts w:ascii="Calibri" w:eastAsia="Calibri" w:hAnsi="Calibri" w:cs="Arial"/>
                        </w:rPr>
                        <w:t>14</w:t>
                      </w:r>
                      <w:r w:rsidRPr="0033154D">
                        <w:rPr>
                          <w:rFonts w:ascii="Calibri" w:eastAsia="Calibri" w:hAnsi="Calibri" w:cs="Arial"/>
                        </w:rPr>
                        <w:t>-01</w:t>
                      </w:r>
                      <w:r w:rsidRPr="0033154D">
                        <w:rPr>
                          <w:rFonts w:ascii="Calibri" w:eastAsia="Calibri" w:hAnsi="Calibri" w:cs="Arial"/>
                          <w:rtl/>
                        </w:rPr>
                        <w:t xml:space="preserve"> </w:t>
                      </w:r>
                    </w:p>
                    <w:p w14:paraId="6509DCF1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25F9CCE3" w14:textId="77777777" w:rsidR="00106C05" w:rsidRDefault="00106C05" w:rsidP="00B329D1">
      <w:pPr>
        <w:bidi/>
        <w:jc w:val="center"/>
        <w:rPr>
          <w:rFonts w:cs="B Nazanin"/>
          <w:b/>
          <w:bCs/>
          <w:rtl/>
        </w:rPr>
      </w:pPr>
    </w:p>
    <w:p w14:paraId="7B35D86F" w14:textId="77777777" w:rsidR="00135D38" w:rsidRPr="00E82A3E" w:rsidRDefault="00135D38" w:rsidP="00106C05">
      <w:pPr>
        <w:bidi/>
        <w:jc w:val="center"/>
        <w:rPr>
          <w:rFonts w:cs="B Nazanin"/>
          <w:b/>
          <w:bCs/>
          <w:rtl/>
        </w:rPr>
      </w:pPr>
      <w:r w:rsidRPr="00E82A3E">
        <w:rPr>
          <w:rFonts w:cs="B Nazanin" w:hint="cs"/>
          <w:b/>
          <w:bCs/>
          <w:rtl/>
        </w:rPr>
        <w:t xml:space="preserve">مقیاس </w:t>
      </w:r>
      <w:r w:rsidR="00B329D1">
        <w:rPr>
          <w:rFonts w:cs="B Nazanin" w:hint="cs"/>
          <w:b/>
          <w:bCs/>
          <w:rtl/>
          <w:lang w:bidi="fa-IR"/>
        </w:rPr>
        <w:t>ولز</w:t>
      </w:r>
      <w:r w:rsidRPr="00E82A3E">
        <w:rPr>
          <w:rFonts w:cs="B Nazanin" w:hint="cs"/>
          <w:b/>
          <w:bCs/>
          <w:rtl/>
        </w:rPr>
        <w:t>(</w:t>
      </w:r>
      <w:r w:rsidR="00B329D1">
        <w:rPr>
          <w:rFonts w:cs="B Nazanin" w:hint="cs"/>
          <w:b/>
          <w:bCs/>
          <w:rtl/>
        </w:rPr>
        <w:t xml:space="preserve"> </w:t>
      </w:r>
      <w:r w:rsidRPr="00E82A3E">
        <w:rPr>
          <w:rFonts w:cs="B Nazanin" w:hint="cs"/>
          <w:b/>
          <w:bCs/>
          <w:rtl/>
        </w:rPr>
        <w:t xml:space="preserve">ارزیابی </w:t>
      </w:r>
      <w:r w:rsidR="0065683E" w:rsidRPr="0065683E">
        <w:rPr>
          <w:rFonts w:cs="B Nazanin" w:hint="cs"/>
          <w:b/>
          <w:bCs/>
          <w:rtl/>
          <w:lang w:bidi="fa-IR"/>
        </w:rPr>
        <w:t xml:space="preserve">خطر بروز </w:t>
      </w:r>
      <w:r w:rsidR="00B329D1">
        <w:rPr>
          <w:rFonts w:cs="B Nazanin" w:hint="cs"/>
          <w:b/>
          <w:bCs/>
          <w:rtl/>
          <w:lang w:bidi="fa-IR"/>
        </w:rPr>
        <w:t xml:space="preserve">ترومبوآمبولی </w:t>
      </w:r>
      <w:r w:rsidRPr="00E82A3E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10750" w:type="dxa"/>
        <w:tblInd w:w="263" w:type="dxa"/>
        <w:tblLook w:val="04A0" w:firstRow="1" w:lastRow="0" w:firstColumn="1" w:lastColumn="0" w:noHBand="0" w:noVBand="1"/>
      </w:tblPr>
      <w:tblGrid>
        <w:gridCol w:w="4955"/>
        <w:gridCol w:w="634"/>
        <w:gridCol w:w="4527"/>
        <w:gridCol w:w="634"/>
      </w:tblGrid>
      <w:tr w:rsidR="00693683" w:rsidRPr="00F36562" w14:paraId="333A35A7" w14:textId="77777777" w:rsidTr="00693683">
        <w:trPr>
          <w:trHeight w:val="335"/>
        </w:trPr>
        <w:tc>
          <w:tcPr>
            <w:tcW w:w="4957" w:type="dxa"/>
            <w:shd w:val="clear" w:color="auto" w:fill="FFC000"/>
          </w:tcPr>
          <w:p w14:paraId="5BBD0E76" w14:textId="77777777" w:rsidR="00B329D1" w:rsidRPr="00F36562" w:rsidRDefault="00B329D1" w:rsidP="0069368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یافته های بالینی برای </w:t>
            </w:r>
            <w:r w:rsidR="00693683" w:rsidRPr="00450CAE">
              <w:rPr>
                <w:rFonts w:cs="B Nazanin" w:hint="cs"/>
                <w:b/>
                <w:bCs/>
                <w:rtl/>
                <w:lang w:bidi="fa-IR"/>
              </w:rPr>
              <w:t xml:space="preserve">خطر </w:t>
            </w:r>
            <w:r w:rsidR="00693683">
              <w:rPr>
                <w:rFonts w:cs="B Nazanin" w:hint="cs"/>
                <w:b/>
                <w:bCs/>
                <w:rtl/>
                <w:lang w:bidi="fa-IR"/>
              </w:rPr>
              <w:t>ترومبو آمبولی وریدی(</w:t>
            </w:r>
            <w:r w:rsidR="00693683">
              <w:rPr>
                <w:rFonts w:cs="B Nazanin"/>
                <w:b/>
                <w:bCs/>
              </w:rPr>
              <w:t>DVT</w:t>
            </w:r>
            <w:r w:rsidR="00693683">
              <w:rPr>
                <w:rFonts w:cs="B Nazanin" w:hint="cs"/>
                <w:b/>
                <w:bCs/>
                <w:rtl/>
              </w:rPr>
              <w:t xml:space="preserve"> )</w:t>
            </w:r>
          </w:p>
        </w:tc>
        <w:tc>
          <w:tcPr>
            <w:tcW w:w="634" w:type="dxa"/>
            <w:shd w:val="clear" w:color="auto" w:fill="FFC000"/>
          </w:tcPr>
          <w:p w14:paraId="7EE0B3AF" w14:textId="77777777" w:rsidR="00B329D1" w:rsidRPr="00F36562" w:rsidRDefault="00B329D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4529" w:type="dxa"/>
            <w:shd w:val="clear" w:color="auto" w:fill="FFC000"/>
            <w:vAlign w:val="center"/>
          </w:tcPr>
          <w:p w14:paraId="0D5A3338" w14:textId="77777777" w:rsidR="00B329D1" w:rsidRPr="00F36562" w:rsidRDefault="00B329D1" w:rsidP="00B329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یافته های بالینی برای</w:t>
            </w:r>
            <w:r w:rsidR="00693683">
              <w:rPr>
                <w:rFonts w:cs="B Nazanin" w:hint="cs"/>
                <w:b/>
                <w:bCs/>
                <w:rtl/>
              </w:rPr>
              <w:t xml:space="preserve"> </w:t>
            </w:r>
            <w:r w:rsidR="00693683" w:rsidRPr="00450CAE">
              <w:rPr>
                <w:rFonts w:cs="B Nazanin" w:hint="cs"/>
                <w:b/>
                <w:bCs/>
                <w:rtl/>
                <w:lang w:bidi="fa-IR"/>
              </w:rPr>
              <w:t xml:space="preserve">خطر </w:t>
            </w:r>
            <w:r w:rsidR="00693683">
              <w:rPr>
                <w:rFonts w:cs="B Nazanin" w:hint="cs"/>
                <w:b/>
                <w:bCs/>
                <w:rtl/>
                <w:lang w:bidi="fa-IR"/>
              </w:rPr>
              <w:t>ترومبو آمبولی ریوی(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/>
                <w:b/>
                <w:bCs/>
              </w:rPr>
              <w:t>PTE</w:t>
            </w:r>
            <w:r w:rsidR="00693683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630" w:type="dxa"/>
            <w:shd w:val="clear" w:color="auto" w:fill="FFC000"/>
            <w:vAlign w:val="center"/>
          </w:tcPr>
          <w:p w14:paraId="586B9B85" w14:textId="77777777" w:rsidR="00B329D1" w:rsidRPr="00F36562" w:rsidRDefault="00B329D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B329D1" w:rsidRPr="00693683" w14:paraId="72E9241B" w14:textId="77777777" w:rsidTr="00693683">
        <w:trPr>
          <w:trHeight w:val="213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5B291691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جراحی ، صدمه یا گچ در اندام تحتانی ، بیحرکتی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52539CC7" w14:textId="77777777" w:rsidR="00B329D1" w:rsidRPr="00693683" w:rsidRDefault="00B329D1" w:rsidP="00FC10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1+</w:t>
            </w:r>
          </w:p>
        </w:tc>
        <w:tc>
          <w:tcPr>
            <w:tcW w:w="4529" w:type="dxa"/>
            <w:shd w:val="clear" w:color="auto" w:fill="C5E0B3" w:themeFill="accent6" w:themeFillTint="66"/>
            <w:vAlign w:val="center"/>
          </w:tcPr>
          <w:p w14:paraId="6CB271E8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 xml:space="preserve">وجود علایم و نشانه های </w:t>
            </w:r>
            <w:r w:rsidRPr="00693683">
              <w:rPr>
                <w:rFonts w:cs="B Nazanin"/>
                <w:b/>
                <w:bCs/>
              </w:rPr>
              <w:t>DVT</w:t>
            </w:r>
          </w:p>
        </w:tc>
        <w:tc>
          <w:tcPr>
            <w:tcW w:w="630" w:type="dxa"/>
            <w:shd w:val="clear" w:color="auto" w:fill="C5E0B3" w:themeFill="accent6" w:themeFillTint="66"/>
            <w:vAlign w:val="center"/>
          </w:tcPr>
          <w:p w14:paraId="14C8B58A" w14:textId="77777777" w:rsidR="00B329D1" w:rsidRPr="00693683" w:rsidRDefault="00B329D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3+</w:t>
            </w:r>
          </w:p>
        </w:tc>
      </w:tr>
      <w:tr w:rsidR="00B329D1" w:rsidRPr="00693683" w14:paraId="337FD3DA" w14:textId="77777777" w:rsidTr="00693683">
        <w:trPr>
          <w:trHeight w:val="247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751B09C1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بستری در تخت بیش از سه روز یا جراحی بزرگ در 4 هفته قبل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29522B53" w14:textId="77777777" w:rsidR="00B329D1" w:rsidRPr="00693683" w:rsidRDefault="00B329D1" w:rsidP="00FC10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1+</w:t>
            </w:r>
          </w:p>
        </w:tc>
        <w:tc>
          <w:tcPr>
            <w:tcW w:w="4529" w:type="dxa"/>
            <w:shd w:val="clear" w:color="auto" w:fill="C5E0B3" w:themeFill="accent6" w:themeFillTint="66"/>
            <w:vAlign w:val="center"/>
          </w:tcPr>
          <w:p w14:paraId="5054CC85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تشخیص افتراقی دیگری که علایم بیمار را توجیه کند ، نداشته باشیم.</w:t>
            </w:r>
          </w:p>
        </w:tc>
        <w:tc>
          <w:tcPr>
            <w:tcW w:w="630" w:type="dxa"/>
            <w:shd w:val="clear" w:color="auto" w:fill="C5E0B3" w:themeFill="accent6" w:themeFillTint="66"/>
            <w:vAlign w:val="center"/>
          </w:tcPr>
          <w:p w14:paraId="6036DB16" w14:textId="77777777" w:rsidR="00B329D1" w:rsidRPr="00693683" w:rsidRDefault="00B329D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3+</w:t>
            </w:r>
          </w:p>
        </w:tc>
      </w:tr>
      <w:tr w:rsidR="00B329D1" w:rsidRPr="00693683" w14:paraId="668EBD47" w14:textId="77777777" w:rsidTr="00693683">
        <w:trPr>
          <w:trHeight w:val="213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49EF2B82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تندرنس در مسیر وریدهای پشت زانو یا ران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776507D8" w14:textId="77777777" w:rsidR="00B329D1" w:rsidRPr="00693683" w:rsidRDefault="00B329D1" w:rsidP="00FC10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1+</w:t>
            </w:r>
          </w:p>
        </w:tc>
        <w:tc>
          <w:tcPr>
            <w:tcW w:w="4529" w:type="dxa"/>
            <w:shd w:val="clear" w:color="auto" w:fill="C5E0B3" w:themeFill="accent6" w:themeFillTint="66"/>
            <w:vAlign w:val="center"/>
          </w:tcPr>
          <w:p w14:paraId="79EADFB4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 xml:space="preserve">سابقه قبلی </w:t>
            </w:r>
            <w:r w:rsidRPr="00693683">
              <w:rPr>
                <w:rFonts w:cs="B Nazanin"/>
                <w:b/>
                <w:bCs/>
              </w:rPr>
              <w:t>DVT</w:t>
            </w:r>
            <w:r w:rsidRPr="00693683">
              <w:rPr>
                <w:rFonts w:cs="B Nazanin" w:hint="cs"/>
                <w:b/>
                <w:bCs/>
                <w:rtl/>
              </w:rPr>
              <w:t xml:space="preserve"> یا </w:t>
            </w:r>
            <w:r w:rsidRPr="00693683">
              <w:rPr>
                <w:rFonts w:cs="B Nazanin"/>
                <w:b/>
                <w:bCs/>
              </w:rPr>
              <w:t>PTE</w:t>
            </w:r>
          </w:p>
        </w:tc>
        <w:tc>
          <w:tcPr>
            <w:tcW w:w="630" w:type="dxa"/>
            <w:shd w:val="clear" w:color="auto" w:fill="C5E0B3" w:themeFill="accent6" w:themeFillTint="66"/>
            <w:vAlign w:val="center"/>
          </w:tcPr>
          <w:p w14:paraId="4294EE82" w14:textId="77777777" w:rsidR="00B329D1" w:rsidRPr="00693683" w:rsidRDefault="00B329D1" w:rsidP="000549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1.5+</w:t>
            </w:r>
          </w:p>
        </w:tc>
      </w:tr>
      <w:tr w:rsidR="00B329D1" w:rsidRPr="00693683" w14:paraId="79BC58F4" w14:textId="77777777" w:rsidTr="00693683">
        <w:trPr>
          <w:trHeight w:val="154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0D0034A6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تورم یک عضو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5BF06E57" w14:textId="77777777" w:rsidR="00B329D1" w:rsidRPr="00693683" w:rsidRDefault="00B329D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1+</w:t>
            </w:r>
          </w:p>
        </w:tc>
        <w:tc>
          <w:tcPr>
            <w:tcW w:w="4529" w:type="dxa"/>
            <w:vMerge w:val="restart"/>
            <w:shd w:val="clear" w:color="auto" w:fill="C5E0B3" w:themeFill="accent6" w:themeFillTint="66"/>
            <w:vAlign w:val="center"/>
          </w:tcPr>
          <w:p w14:paraId="31C5D5A0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وجود تاکی کاردی بالای 100</w:t>
            </w:r>
          </w:p>
        </w:tc>
        <w:tc>
          <w:tcPr>
            <w:tcW w:w="630" w:type="dxa"/>
            <w:vMerge w:val="restart"/>
            <w:shd w:val="clear" w:color="auto" w:fill="C5E0B3" w:themeFill="accent6" w:themeFillTint="66"/>
            <w:vAlign w:val="center"/>
          </w:tcPr>
          <w:p w14:paraId="0DA122AF" w14:textId="77777777" w:rsidR="00B329D1" w:rsidRPr="00693683" w:rsidRDefault="00B329D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1.5+</w:t>
            </w:r>
          </w:p>
        </w:tc>
      </w:tr>
      <w:tr w:rsidR="00B329D1" w:rsidRPr="00693683" w14:paraId="07720EE3" w14:textId="77777777" w:rsidTr="00693683">
        <w:trPr>
          <w:trHeight w:val="153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49AD907C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ادم گوده گذار در اندام مبتلا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228CCB07" w14:textId="77777777" w:rsidR="00B329D1" w:rsidRPr="00693683" w:rsidRDefault="00B329D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1+</w:t>
            </w:r>
          </w:p>
        </w:tc>
        <w:tc>
          <w:tcPr>
            <w:tcW w:w="4529" w:type="dxa"/>
            <w:vMerge/>
            <w:shd w:val="clear" w:color="auto" w:fill="C5E0B3" w:themeFill="accent6" w:themeFillTint="66"/>
            <w:vAlign w:val="center"/>
          </w:tcPr>
          <w:p w14:paraId="0E558730" w14:textId="77777777" w:rsidR="00B329D1" w:rsidRPr="00693683" w:rsidRDefault="00B329D1" w:rsidP="00124F7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vMerge/>
            <w:shd w:val="clear" w:color="auto" w:fill="C5E0B3" w:themeFill="accent6" w:themeFillTint="66"/>
            <w:vAlign w:val="center"/>
          </w:tcPr>
          <w:p w14:paraId="02300665" w14:textId="77777777" w:rsidR="00B329D1" w:rsidRPr="00693683" w:rsidRDefault="00B329D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24F76" w:rsidRPr="00693683" w14:paraId="291300F3" w14:textId="77777777" w:rsidTr="00693683">
        <w:trPr>
          <w:trHeight w:val="307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3DB1C4CD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تورم بیشتر از 3 سانتی متر یک پا نسبت به پای دیگر در 10 سانتی متری زیر زانو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67D7CEFE" w14:textId="77777777" w:rsidR="00124F76" w:rsidRPr="00693683" w:rsidRDefault="00124F76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1+</w:t>
            </w:r>
          </w:p>
        </w:tc>
        <w:tc>
          <w:tcPr>
            <w:tcW w:w="4529" w:type="dxa"/>
            <w:vMerge w:val="restart"/>
            <w:shd w:val="clear" w:color="auto" w:fill="C5E0B3" w:themeFill="accent6" w:themeFillTint="66"/>
            <w:vAlign w:val="center"/>
          </w:tcPr>
          <w:p w14:paraId="5D2CD1B8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بی حرکتی بیش از سه روز یا جراحی در چهار هفته اخیر</w:t>
            </w:r>
          </w:p>
        </w:tc>
        <w:tc>
          <w:tcPr>
            <w:tcW w:w="630" w:type="dxa"/>
            <w:vMerge w:val="restart"/>
            <w:shd w:val="clear" w:color="auto" w:fill="C5E0B3" w:themeFill="accent6" w:themeFillTint="66"/>
            <w:vAlign w:val="center"/>
          </w:tcPr>
          <w:p w14:paraId="1B766BD1" w14:textId="77777777" w:rsidR="00124F76" w:rsidRPr="00693683" w:rsidRDefault="00124F7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1.5+</w:t>
            </w:r>
          </w:p>
        </w:tc>
      </w:tr>
      <w:tr w:rsidR="00124F76" w:rsidRPr="00693683" w14:paraId="68C89FB6" w14:textId="77777777" w:rsidTr="00693683">
        <w:trPr>
          <w:trHeight w:val="307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591843D1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تورم عروق محیطی که ناشی از واریس نباشد.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12EE8517" w14:textId="77777777" w:rsidR="00124F76" w:rsidRPr="00693683" w:rsidRDefault="00124F76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1+</w:t>
            </w:r>
          </w:p>
        </w:tc>
        <w:tc>
          <w:tcPr>
            <w:tcW w:w="4529" w:type="dxa"/>
            <w:vMerge/>
            <w:shd w:val="clear" w:color="auto" w:fill="C5E0B3" w:themeFill="accent6" w:themeFillTint="66"/>
            <w:vAlign w:val="center"/>
          </w:tcPr>
          <w:p w14:paraId="637486DD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C5E0B3" w:themeFill="accent6" w:themeFillTint="66"/>
            <w:vAlign w:val="center"/>
          </w:tcPr>
          <w:p w14:paraId="0866BF61" w14:textId="77777777" w:rsidR="00124F76" w:rsidRPr="00693683" w:rsidRDefault="00124F7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24F76" w:rsidRPr="00693683" w14:paraId="280D7F30" w14:textId="77777777" w:rsidTr="00693683">
        <w:trPr>
          <w:trHeight w:val="307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73A40126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 xml:space="preserve">داشتن سابقه </w:t>
            </w:r>
            <w:r w:rsidRPr="00693683">
              <w:rPr>
                <w:rFonts w:cs="B Nazanin"/>
                <w:b/>
                <w:bCs/>
              </w:rPr>
              <w:t>DVT</w:t>
            </w:r>
            <w:r w:rsidRPr="00693683">
              <w:rPr>
                <w:rFonts w:cs="B Nazanin" w:hint="cs"/>
                <w:b/>
                <w:bCs/>
                <w:rtl/>
              </w:rPr>
              <w:t xml:space="preserve"> قبلی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75CD0E8E" w14:textId="77777777" w:rsidR="00124F76" w:rsidRPr="00693683" w:rsidRDefault="00124F76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1+</w:t>
            </w:r>
          </w:p>
        </w:tc>
        <w:tc>
          <w:tcPr>
            <w:tcW w:w="4529" w:type="dxa"/>
            <w:vMerge w:val="restart"/>
            <w:shd w:val="clear" w:color="auto" w:fill="C5E0B3" w:themeFill="accent6" w:themeFillTint="66"/>
            <w:vAlign w:val="center"/>
          </w:tcPr>
          <w:p w14:paraId="56B45240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وجود خلط خونی ( هموپتزی)</w:t>
            </w:r>
          </w:p>
        </w:tc>
        <w:tc>
          <w:tcPr>
            <w:tcW w:w="630" w:type="dxa"/>
            <w:vMerge w:val="restart"/>
            <w:shd w:val="clear" w:color="auto" w:fill="C5E0B3" w:themeFill="accent6" w:themeFillTint="66"/>
            <w:vAlign w:val="center"/>
          </w:tcPr>
          <w:p w14:paraId="5EC4340B" w14:textId="77777777" w:rsidR="00124F76" w:rsidRPr="00693683" w:rsidRDefault="00124F7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1+</w:t>
            </w:r>
          </w:p>
        </w:tc>
      </w:tr>
      <w:tr w:rsidR="00124F76" w:rsidRPr="00693683" w14:paraId="3253EEF9" w14:textId="77777777" w:rsidTr="00693683">
        <w:trPr>
          <w:trHeight w:val="307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28D50B36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بدخیمی حاد یا درمان شده که شش ماه قبل بوده است.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101BE7FE" w14:textId="77777777" w:rsidR="00124F76" w:rsidRPr="00693683" w:rsidRDefault="00124F76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1+</w:t>
            </w:r>
          </w:p>
        </w:tc>
        <w:tc>
          <w:tcPr>
            <w:tcW w:w="4529" w:type="dxa"/>
            <w:vMerge/>
            <w:shd w:val="clear" w:color="auto" w:fill="C5E0B3" w:themeFill="accent6" w:themeFillTint="66"/>
            <w:vAlign w:val="center"/>
          </w:tcPr>
          <w:p w14:paraId="199FB8CB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C5E0B3" w:themeFill="accent6" w:themeFillTint="66"/>
            <w:vAlign w:val="center"/>
          </w:tcPr>
          <w:p w14:paraId="1F80FC18" w14:textId="77777777" w:rsidR="00124F76" w:rsidRPr="00693683" w:rsidRDefault="00124F7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24F76" w:rsidRPr="00693683" w14:paraId="252B46DB" w14:textId="77777777" w:rsidTr="00693683">
        <w:trPr>
          <w:trHeight w:val="307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5903A085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تزریق وریدی دارو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7B31F4E4" w14:textId="77777777" w:rsidR="00124F76" w:rsidRPr="00693683" w:rsidRDefault="00124F76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3+</w:t>
            </w:r>
          </w:p>
        </w:tc>
        <w:tc>
          <w:tcPr>
            <w:tcW w:w="4529" w:type="dxa"/>
            <w:vMerge w:val="restart"/>
            <w:shd w:val="clear" w:color="auto" w:fill="C5E0B3" w:themeFill="accent6" w:themeFillTint="66"/>
            <w:vAlign w:val="center"/>
          </w:tcPr>
          <w:p w14:paraId="468CC238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بدخیمی فعال ( تحت درمان ) یا درمان شده در طول 6 ماه اخیر یا درمان تسکین دهنده</w:t>
            </w:r>
          </w:p>
        </w:tc>
        <w:tc>
          <w:tcPr>
            <w:tcW w:w="630" w:type="dxa"/>
            <w:vMerge w:val="restart"/>
            <w:shd w:val="clear" w:color="auto" w:fill="C5E0B3" w:themeFill="accent6" w:themeFillTint="66"/>
            <w:vAlign w:val="center"/>
          </w:tcPr>
          <w:p w14:paraId="2103ADB2" w14:textId="77777777" w:rsidR="00124F76" w:rsidRPr="00693683" w:rsidRDefault="00124F7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1+</w:t>
            </w:r>
          </w:p>
        </w:tc>
      </w:tr>
      <w:tr w:rsidR="00124F76" w:rsidRPr="00693683" w14:paraId="3FE81F5D" w14:textId="77777777" w:rsidTr="00693683">
        <w:trPr>
          <w:trHeight w:val="307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0849F416" w14:textId="77777777" w:rsidR="00124F76" w:rsidRPr="00693683" w:rsidRDefault="00124F76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 xml:space="preserve">تشخیص جایگزین با احتمال بیشتری نسبت به </w:t>
            </w:r>
            <w:r w:rsidRPr="00693683">
              <w:rPr>
                <w:rFonts w:cs="B Nazanin"/>
                <w:b/>
                <w:bCs/>
              </w:rPr>
              <w:t>DVT</w:t>
            </w:r>
          </w:p>
        </w:tc>
        <w:tc>
          <w:tcPr>
            <w:tcW w:w="634" w:type="dxa"/>
            <w:shd w:val="clear" w:color="auto" w:fill="F7CAAC" w:themeFill="accent2" w:themeFillTint="66"/>
          </w:tcPr>
          <w:p w14:paraId="1825B022" w14:textId="77777777" w:rsidR="00124F76" w:rsidRPr="00693683" w:rsidRDefault="00124F76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93683"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</w:tc>
        <w:tc>
          <w:tcPr>
            <w:tcW w:w="4529" w:type="dxa"/>
            <w:vMerge/>
            <w:shd w:val="clear" w:color="auto" w:fill="C5E0B3" w:themeFill="accent6" w:themeFillTint="66"/>
            <w:vAlign w:val="center"/>
          </w:tcPr>
          <w:p w14:paraId="78E2CE68" w14:textId="77777777" w:rsidR="00124F76" w:rsidRPr="00693683" w:rsidRDefault="00124F76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C5E0B3" w:themeFill="accent6" w:themeFillTint="66"/>
            <w:vAlign w:val="center"/>
          </w:tcPr>
          <w:p w14:paraId="3015659E" w14:textId="77777777" w:rsidR="00124F76" w:rsidRPr="00693683" w:rsidRDefault="00124F7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4707F8C5" w14:textId="77777777" w:rsidR="00CB29D9" w:rsidRPr="00693683" w:rsidRDefault="00CB29D9" w:rsidP="00CB29D9">
      <w:pPr>
        <w:bidi/>
        <w:rPr>
          <w:rtl/>
        </w:rPr>
      </w:pPr>
    </w:p>
    <w:p w14:paraId="17DF6A12" w14:textId="77777777" w:rsidR="008A4E67" w:rsidRPr="008A4E67" w:rsidRDefault="008A4E67" w:rsidP="008A4E67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1342"/>
        <w:gridCol w:w="2888"/>
        <w:gridCol w:w="1350"/>
      </w:tblGrid>
      <w:tr w:rsidR="00106C05" w14:paraId="627C0C9D" w14:textId="77777777" w:rsidTr="009F2BFC">
        <w:trPr>
          <w:trHeight w:val="352"/>
          <w:jc w:val="center"/>
        </w:trPr>
        <w:tc>
          <w:tcPr>
            <w:tcW w:w="4222" w:type="dxa"/>
            <w:gridSpan w:val="2"/>
            <w:shd w:val="clear" w:color="auto" w:fill="FFC000"/>
          </w:tcPr>
          <w:p w14:paraId="70F4F978" w14:textId="77777777" w:rsidR="00106C05" w:rsidRPr="00450CAE" w:rsidRDefault="00106C05" w:rsidP="00106C0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 xml:space="preserve">نتیجه ارزیابی </w:t>
            </w:r>
            <w:r w:rsidRPr="00450CAE">
              <w:rPr>
                <w:rFonts w:cs="B Nazanin" w:hint="cs"/>
                <w:b/>
                <w:bCs/>
                <w:rtl/>
                <w:lang w:bidi="fa-IR"/>
              </w:rPr>
              <w:t xml:space="preserve">خطر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ترومبو آمبولی وریدی </w:t>
            </w:r>
            <w:r>
              <w:rPr>
                <w:rFonts w:cs="B Nazanin"/>
                <w:b/>
                <w:bCs/>
              </w:rPr>
              <w:t>DVT</w:t>
            </w:r>
          </w:p>
        </w:tc>
        <w:tc>
          <w:tcPr>
            <w:tcW w:w="4238" w:type="dxa"/>
            <w:gridSpan w:val="2"/>
            <w:shd w:val="clear" w:color="auto" w:fill="FFC000"/>
          </w:tcPr>
          <w:p w14:paraId="011374FF" w14:textId="77777777" w:rsidR="00106C05" w:rsidRPr="00450CAE" w:rsidRDefault="00106C05" w:rsidP="00106C0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 xml:space="preserve">نتیجه ارزیابی </w:t>
            </w:r>
            <w:r w:rsidRPr="00450CAE">
              <w:rPr>
                <w:rFonts w:cs="B Nazanin" w:hint="cs"/>
                <w:b/>
                <w:bCs/>
                <w:rtl/>
                <w:lang w:bidi="fa-IR"/>
              </w:rPr>
              <w:t xml:space="preserve">خطر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ترومبو آمبولی ریوی </w:t>
            </w:r>
            <w:r>
              <w:rPr>
                <w:rFonts w:cs="B Nazanin"/>
                <w:b/>
                <w:bCs/>
              </w:rPr>
              <w:t>PTE</w:t>
            </w:r>
          </w:p>
        </w:tc>
      </w:tr>
      <w:tr w:rsidR="00106C05" w14:paraId="69E706BF" w14:textId="77777777" w:rsidTr="009F2BFC">
        <w:trPr>
          <w:trHeight w:val="330"/>
          <w:jc w:val="center"/>
        </w:trPr>
        <w:tc>
          <w:tcPr>
            <w:tcW w:w="2880" w:type="dxa"/>
            <w:shd w:val="clear" w:color="auto" w:fill="F7CAAC" w:themeFill="accent2" w:themeFillTint="66"/>
          </w:tcPr>
          <w:p w14:paraId="4BFCC2CB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خطر بالا و پرخطر</w:t>
            </w:r>
          </w:p>
        </w:tc>
        <w:tc>
          <w:tcPr>
            <w:tcW w:w="1342" w:type="dxa"/>
            <w:shd w:val="clear" w:color="auto" w:fill="F7CAAC" w:themeFill="accent2" w:themeFillTint="66"/>
          </w:tcPr>
          <w:p w14:paraId="3AC9D04B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 یا بیشتر</w:t>
            </w:r>
          </w:p>
        </w:tc>
        <w:tc>
          <w:tcPr>
            <w:tcW w:w="2888" w:type="dxa"/>
            <w:shd w:val="clear" w:color="auto" w:fill="C5E0B3" w:themeFill="accent6" w:themeFillTint="66"/>
          </w:tcPr>
          <w:p w14:paraId="6B48B252" w14:textId="77777777" w:rsidR="00106C05" w:rsidRPr="00450CAE" w:rsidRDefault="00106C05" w:rsidP="00106C0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 xml:space="preserve">خطر </w:t>
            </w:r>
            <w:r>
              <w:rPr>
                <w:rFonts w:cs="B Nazanin" w:hint="cs"/>
                <w:b/>
                <w:bCs/>
                <w:rtl/>
              </w:rPr>
              <w:t>بالا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5EEDF543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بیش از 6</w:t>
            </w:r>
          </w:p>
        </w:tc>
      </w:tr>
      <w:tr w:rsidR="00106C05" w14:paraId="1EA4FEAE" w14:textId="77777777" w:rsidTr="009F2BFC">
        <w:trPr>
          <w:trHeight w:val="352"/>
          <w:jc w:val="center"/>
        </w:trPr>
        <w:tc>
          <w:tcPr>
            <w:tcW w:w="2880" w:type="dxa"/>
            <w:shd w:val="clear" w:color="auto" w:fill="F7CAAC" w:themeFill="accent2" w:themeFillTint="66"/>
          </w:tcPr>
          <w:p w14:paraId="5EFAAD71" w14:textId="77777777" w:rsidR="00106C05" w:rsidRPr="00450CAE" w:rsidRDefault="00106C05" w:rsidP="00106C0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خطر متوسط</w:t>
            </w:r>
          </w:p>
        </w:tc>
        <w:tc>
          <w:tcPr>
            <w:tcW w:w="1342" w:type="dxa"/>
            <w:shd w:val="clear" w:color="auto" w:fill="F7CAAC" w:themeFill="accent2" w:themeFillTint="66"/>
          </w:tcPr>
          <w:p w14:paraId="51DCC302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یا 2</w:t>
            </w:r>
          </w:p>
        </w:tc>
        <w:tc>
          <w:tcPr>
            <w:tcW w:w="2888" w:type="dxa"/>
            <w:shd w:val="clear" w:color="auto" w:fill="C5E0B3" w:themeFill="accent6" w:themeFillTint="66"/>
          </w:tcPr>
          <w:p w14:paraId="1D320057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خطر متوسط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243D091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2 تا 6</w:t>
            </w:r>
          </w:p>
        </w:tc>
      </w:tr>
      <w:tr w:rsidR="00106C05" w14:paraId="070DB776" w14:textId="77777777" w:rsidTr="009F2BFC">
        <w:trPr>
          <w:trHeight w:val="330"/>
          <w:jc w:val="center"/>
        </w:trPr>
        <w:tc>
          <w:tcPr>
            <w:tcW w:w="2880" w:type="dxa"/>
            <w:shd w:val="clear" w:color="auto" w:fill="F7CAAC" w:themeFill="accent2" w:themeFillTint="66"/>
          </w:tcPr>
          <w:p w14:paraId="3ACB0EEF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خطر پایین و کم خطر</w:t>
            </w:r>
          </w:p>
        </w:tc>
        <w:tc>
          <w:tcPr>
            <w:tcW w:w="1342" w:type="dxa"/>
            <w:shd w:val="clear" w:color="auto" w:fill="F7CAAC" w:themeFill="accent2" w:themeFillTint="66"/>
          </w:tcPr>
          <w:p w14:paraId="1B08C9BB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صفر یا کمتر</w:t>
            </w:r>
          </w:p>
        </w:tc>
        <w:tc>
          <w:tcPr>
            <w:tcW w:w="2888" w:type="dxa"/>
            <w:shd w:val="clear" w:color="auto" w:fill="C5E0B3" w:themeFill="accent6" w:themeFillTint="66"/>
          </w:tcPr>
          <w:p w14:paraId="3B2FDBC8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خطر کم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60F611F" w14:textId="77777777" w:rsidR="00106C05" w:rsidRPr="00450CAE" w:rsidRDefault="00106C05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کمتر از 2</w:t>
            </w:r>
          </w:p>
        </w:tc>
      </w:tr>
    </w:tbl>
    <w:p w14:paraId="3443CB23" w14:textId="77777777" w:rsidR="00CB29D9" w:rsidRDefault="00CB29D9" w:rsidP="00CB29D9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8730"/>
      </w:tblGrid>
      <w:tr w:rsidR="00693683" w14:paraId="2958CB8A" w14:textId="77777777" w:rsidTr="009F2BFC">
        <w:trPr>
          <w:trHeight w:val="460"/>
          <w:jc w:val="center"/>
        </w:trPr>
        <w:tc>
          <w:tcPr>
            <w:tcW w:w="10819" w:type="dxa"/>
            <w:gridSpan w:val="2"/>
            <w:shd w:val="clear" w:color="auto" w:fill="FFC000"/>
            <w:vAlign w:val="center"/>
          </w:tcPr>
          <w:p w14:paraId="27D4CA12" w14:textId="77777777" w:rsidR="00693683" w:rsidRPr="00693683" w:rsidRDefault="00693683" w:rsidP="006936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 xml:space="preserve">خطر بیماران مختلف جهت تشخیص خطر بروز </w:t>
            </w:r>
            <w:r w:rsidRPr="00693683">
              <w:rPr>
                <w:rFonts w:cs="B Nazanin"/>
                <w:b/>
                <w:bCs/>
              </w:rPr>
              <w:t>DVT</w:t>
            </w:r>
            <w:r w:rsidRPr="00693683">
              <w:rPr>
                <w:rFonts w:cs="B Nazanin" w:hint="cs"/>
                <w:b/>
                <w:bCs/>
                <w:rtl/>
              </w:rPr>
              <w:t xml:space="preserve"> و </w:t>
            </w:r>
            <w:r w:rsidRPr="00693683">
              <w:rPr>
                <w:rFonts w:cs="B Nazanin"/>
                <w:b/>
                <w:bCs/>
              </w:rPr>
              <w:t>PTE</w:t>
            </w:r>
          </w:p>
        </w:tc>
      </w:tr>
      <w:tr w:rsidR="00693683" w14:paraId="277AFD36" w14:textId="77777777" w:rsidTr="009F2BFC">
        <w:trPr>
          <w:trHeight w:val="631"/>
          <w:jc w:val="center"/>
        </w:trPr>
        <w:tc>
          <w:tcPr>
            <w:tcW w:w="2089" w:type="dxa"/>
            <w:shd w:val="clear" w:color="auto" w:fill="E99BE3"/>
            <w:vAlign w:val="center"/>
          </w:tcPr>
          <w:p w14:paraId="4E852D0C" w14:textId="77777777" w:rsidR="00693683" w:rsidRPr="00693683" w:rsidRDefault="00693683" w:rsidP="006936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بیماران با خطر بالا</w:t>
            </w:r>
          </w:p>
        </w:tc>
        <w:tc>
          <w:tcPr>
            <w:tcW w:w="8730" w:type="dxa"/>
            <w:shd w:val="clear" w:color="auto" w:fill="E99BE3"/>
            <w:vAlign w:val="center"/>
          </w:tcPr>
          <w:p w14:paraId="661DFCE0" w14:textId="77777777" w:rsidR="00693683" w:rsidRPr="00693683" w:rsidRDefault="00693683" w:rsidP="00693683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سابقه قبلی بیمار یا خانواده ، چاقی ، سن بالای 60 سال ، سن بین 40 تا 60 و دارای یک فاکتور خطر دیگر ، انعقادپذیری اکتسابی یا ارثی ، بیماری های زمینه ای مثل بیماری قلبی ، عفونت ، سکته های اخیر ، بیماری های التهابی ، جراحی و شکستگی اندام تحتانی ، صدمات نخاعی یا اعمال جراحی سرطان</w:t>
            </w:r>
          </w:p>
        </w:tc>
      </w:tr>
      <w:tr w:rsidR="00693683" w14:paraId="0AE517E6" w14:textId="77777777" w:rsidTr="009F2BFC">
        <w:trPr>
          <w:trHeight w:val="613"/>
          <w:jc w:val="center"/>
        </w:trPr>
        <w:tc>
          <w:tcPr>
            <w:tcW w:w="2089" w:type="dxa"/>
            <w:shd w:val="clear" w:color="auto" w:fill="E99BE3"/>
            <w:vAlign w:val="center"/>
          </w:tcPr>
          <w:p w14:paraId="3450C04F" w14:textId="77777777" w:rsidR="00693683" w:rsidRPr="00693683" w:rsidRDefault="00693683" w:rsidP="006936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بیماران با خطر متوسط</w:t>
            </w:r>
          </w:p>
        </w:tc>
        <w:tc>
          <w:tcPr>
            <w:tcW w:w="8730" w:type="dxa"/>
            <w:shd w:val="clear" w:color="auto" w:fill="E99BE3"/>
            <w:vAlign w:val="center"/>
          </w:tcPr>
          <w:p w14:paraId="18EE5950" w14:textId="77777777" w:rsidR="00693683" w:rsidRPr="00693683" w:rsidRDefault="00693683" w:rsidP="00693683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بیمارانی که تحت عمل جراحی کوچک قرار گرفته اند ولی سن بین 40 تا 60 سال دارند و به بیهوشی بیشتر از 30 دقیقه نیاز دارند.</w:t>
            </w:r>
          </w:p>
        </w:tc>
      </w:tr>
      <w:tr w:rsidR="00693683" w14:paraId="29C0E8FA" w14:textId="77777777" w:rsidTr="009F2BFC">
        <w:trPr>
          <w:trHeight w:val="550"/>
          <w:jc w:val="center"/>
        </w:trPr>
        <w:tc>
          <w:tcPr>
            <w:tcW w:w="2089" w:type="dxa"/>
            <w:shd w:val="clear" w:color="auto" w:fill="E99BE3"/>
            <w:vAlign w:val="center"/>
          </w:tcPr>
          <w:p w14:paraId="11D2911F" w14:textId="77777777" w:rsidR="00693683" w:rsidRPr="00693683" w:rsidRDefault="00693683" w:rsidP="006936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بیماران با خطر پایین</w:t>
            </w:r>
          </w:p>
        </w:tc>
        <w:tc>
          <w:tcPr>
            <w:tcW w:w="8730" w:type="dxa"/>
            <w:shd w:val="clear" w:color="auto" w:fill="E99BE3"/>
            <w:vAlign w:val="center"/>
          </w:tcPr>
          <w:p w14:paraId="56161F70" w14:textId="77777777" w:rsidR="00693683" w:rsidRPr="00693683" w:rsidRDefault="00693683" w:rsidP="00693683">
            <w:pPr>
              <w:bidi/>
              <w:rPr>
                <w:rFonts w:cs="B Nazanin"/>
                <w:b/>
                <w:bCs/>
                <w:rtl/>
              </w:rPr>
            </w:pPr>
            <w:r w:rsidRPr="00693683">
              <w:rPr>
                <w:rFonts w:cs="B Nazanin" w:hint="cs"/>
                <w:b/>
                <w:bCs/>
                <w:rtl/>
              </w:rPr>
              <w:t>سن کمتر از 40 سال ، مدت زمان بیهوشی کمتر از 30 دقیقه</w:t>
            </w:r>
          </w:p>
        </w:tc>
      </w:tr>
    </w:tbl>
    <w:p w14:paraId="68B677C3" w14:textId="77777777" w:rsidR="00106C05" w:rsidRDefault="00106C05" w:rsidP="00106C05">
      <w:pPr>
        <w:bidi/>
        <w:rPr>
          <w:rFonts w:cs="B Nazanin"/>
          <w:b/>
          <w:bCs/>
          <w:sz w:val="20"/>
          <w:szCs w:val="20"/>
          <w:rtl/>
        </w:rPr>
      </w:pPr>
    </w:p>
    <w:p w14:paraId="3B1D75D7" w14:textId="77777777" w:rsidR="00106C05" w:rsidRDefault="00106C05" w:rsidP="00106C05">
      <w:pPr>
        <w:bidi/>
        <w:jc w:val="right"/>
        <w:rPr>
          <w:rFonts w:cs="B Nazanin"/>
          <w:b/>
          <w:bCs/>
          <w:sz w:val="20"/>
          <w:szCs w:val="20"/>
          <w:rtl/>
        </w:rPr>
      </w:pPr>
    </w:p>
    <w:p w14:paraId="743E9890" w14:textId="0699F3FA" w:rsidR="00693683" w:rsidRPr="00693683" w:rsidRDefault="00693683" w:rsidP="00693683">
      <w:pPr>
        <w:bidi/>
        <w:jc w:val="right"/>
        <w:rPr>
          <w:rFonts w:cs="B Nazanin"/>
          <w:b/>
          <w:bCs/>
        </w:rPr>
      </w:pPr>
      <w:r w:rsidRPr="00693683">
        <w:rPr>
          <w:rFonts w:cs="B Nazanin" w:hint="cs"/>
          <w:b/>
          <w:bCs/>
          <w:rtl/>
        </w:rPr>
        <w:t xml:space="preserve">آموزش ضمن خدمت کارکنان </w:t>
      </w:r>
      <w:r w:rsidRPr="00693683">
        <w:rPr>
          <w:rFonts w:ascii="Times New Roman" w:hAnsi="Times New Roman" w:cs="Times New Roman" w:hint="cs"/>
          <w:b/>
          <w:bCs/>
          <w:rtl/>
        </w:rPr>
        <w:t>–</w:t>
      </w:r>
      <w:r w:rsidRPr="00693683">
        <w:rPr>
          <w:rFonts w:cs="B Nazanin" w:hint="cs"/>
          <w:b/>
          <w:bCs/>
          <w:rtl/>
        </w:rPr>
        <w:t xml:space="preserve"> </w:t>
      </w:r>
      <w:r w:rsidR="004970E8">
        <w:rPr>
          <w:rFonts w:cs="B Nazanin" w:hint="cs"/>
          <w:b/>
          <w:bCs/>
          <w:rtl/>
        </w:rPr>
        <w:t>تابستان 1404</w:t>
      </w:r>
    </w:p>
    <w:sectPr w:rsidR="00693683" w:rsidRPr="00693683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169CC"/>
    <w:rsid w:val="00054987"/>
    <w:rsid w:val="0006717F"/>
    <w:rsid w:val="0009569E"/>
    <w:rsid w:val="00106C05"/>
    <w:rsid w:val="00124F76"/>
    <w:rsid w:val="00126CDD"/>
    <w:rsid w:val="00135D38"/>
    <w:rsid w:val="00140ACC"/>
    <w:rsid w:val="0016219E"/>
    <w:rsid w:val="00244388"/>
    <w:rsid w:val="00335DB8"/>
    <w:rsid w:val="003E1417"/>
    <w:rsid w:val="004030C5"/>
    <w:rsid w:val="00403237"/>
    <w:rsid w:val="00437C84"/>
    <w:rsid w:val="00442BA7"/>
    <w:rsid w:val="00450CAE"/>
    <w:rsid w:val="004970E8"/>
    <w:rsid w:val="005B31FB"/>
    <w:rsid w:val="00637C04"/>
    <w:rsid w:val="0065683E"/>
    <w:rsid w:val="00693683"/>
    <w:rsid w:val="006B75C4"/>
    <w:rsid w:val="00723084"/>
    <w:rsid w:val="00743257"/>
    <w:rsid w:val="00777593"/>
    <w:rsid w:val="007C4FE0"/>
    <w:rsid w:val="007F56DC"/>
    <w:rsid w:val="008A494F"/>
    <w:rsid w:val="008A4E67"/>
    <w:rsid w:val="0095156D"/>
    <w:rsid w:val="009A44D8"/>
    <w:rsid w:val="009F2BFC"/>
    <w:rsid w:val="00A43B5B"/>
    <w:rsid w:val="00A972E4"/>
    <w:rsid w:val="00AD779F"/>
    <w:rsid w:val="00B20AE1"/>
    <w:rsid w:val="00B329D1"/>
    <w:rsid w:val="00B34042"/>
    <w:rsid w:val="00B370EC"/>
    <w:rsid w:val="00BC3478"/>
    <w:rsid w:val="00BE6834"/>
    <w:rsid w:val="00C009D1"/>
    <w:rsid w:val="00CB29D9"/>
    <w:rsid w:val="00D033D6"/>
    <w:rsid w:val="00DB043E"/>
    <w:rsid w:val="00E21EB8"/>
    <w:rsid w:val="00E82A3E"/>
    <w:rsid w:val="00EF6091"/>
    <w:rsid w:val="00F306B9"/>
    <w:rsid w:val="00F36562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EC496C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41</cp:revision>
  <dcterms:created xsi:type="dcterms:W3CDTF">2022-06-22T06:14:00Z</dcterms:created>
  <dcterms:modified xsi:type="dcterms:W3CDTF">2025-11-17T05:15:00Z</dcterms:modified>
</cp:coreProperties>
</file>